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A" w:rsidRPr="00796ADD" w:rsidRDefault="00AE24BA" w:rsidP="00B87648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AE24BA" w:rsidRPr="00796ADD" w:rsidRDefault="00AE24BA" w:rsidP="00B87648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tbl>
      <w:tblPr>
        <w:tblW w:w="0" w:type="auto"/>
        <w:tblLook w:val="04A0"/>
      </w:tblPr>
      <w:tblGrid>
        <w:gridCol w:w="4559"/>
        <w:gridCol w:w="5295"/>
      </w:tblGrid>
      <w:tr w:rsidR="00014CA4" w:rsidRPr="00796ADD" w:rsidTr="00413A55">
        <w:tc>
          <w:tcPr>
            <w:tcW w:w="4559" w:type="dxa"/>
            <w:shd w:val="clear" w:color="auto" w:fill="auto"/>
          </w:tcPr>
          <w:p w:rsidR="00014CA4" w:rsidRPr="00796ADD" w:rsidRDefault="00014CA4" w:rsidP="00796ADD">
            <w:pPr>
              <w:widowControl w:val="0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5" w:type="dxa"/>
            <w:shd w:val="clear" w:color="auto" w:fill="auto"/>
          </w:tcPr>
          <w:p w:rsidR="001429D5" w:rsidRDefault="001429D5" w:rsidP="00796ADD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4CA4" w:rsidRPr="00796ADD" w:rsidRDefault="00014CA4" w:rsidP="001429D5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96ADD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014CA4" w:rsidRPr="00796ADD" w:rsidRDefault="00014CA4" w:rsidP="00444F72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96ADD">
              <w:rPr>
                <w:rFonts w:eastAsia="Calibri"/>
                <w:sz w:val="28"/>
                <w:szCs w:val="28"/>
                <w:lang w:eastAsia="en-US"/>
              </w:rPr>
              <w:t>к Порядку проведения отбора з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стройщиков для реализации масштабного инвестиционного проекта по строител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ству многоквартирных жилых домов по переселению граждан из аварийного ж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лищного фонда</w:t>
            </w:r>
            <w:proofErr w:type="gramEnd"/>
            <w:r w:rsidRPr="00796ADD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</w:t>
            </w:r>
            <w:proofErr w:type="spellStart"/>
            <w:r w:rsidRPr="00796ADD">
              <w:rPr>
                <w:rFonts w:eastAsia="Calibri"/>
                <w:sz w:val="28"/>
                <w:szCs w:val="28"/>
                <w:lang w:eastAsia="en-US"/>
              </w:rPr>
              <w:t>Сясьс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ройско</w:t>
            </w:r>
            <w:r w:rsidR="00444F72">
              <w:rPr>
                <w:rFonts w:eastAsia="Calibri"/>
                <w:sz w:val="28"/>
                <w:szCs w:val="28"/>
                <w:lang w:eastAsia="en-US"/>
              </w:rPr>
              <w:t>го</w:t>
            </w:r>
            <w:proofErr w:type="spellEnd"/>
            <w:r w:rsidRPr="00796ADD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44F72"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6ADD">
              <w:rPr>
                <w:rFonts w:eastAsia="Calibri"/>
                <w:sz w:val="28"/>
                <w:szCs w:val="28"/>
                <w:lang w:eastAsia="en-US"/>
              </w:rPr>
              <w:t>Волхо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r w:rsidRPr="00796AD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Лени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градской обла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ти</w:t>
            </w:r>
          </w:p>
        </w:tc>
      </w:tr>
    </w:tbl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 xml:space="preserve">ДОГОВОР </w:t>
      </w: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о намерении строительства с застройщиком, отобранным в целях строительства многоквартирного жилого дома для переселения граждан, на земельном участке, предоставляемом в аренду юридическому лицу без проведения торгов</w:t>
      </w:r>
    </w:p>
    <w:p w:rsidR="00014CA4" w:rsidRPr="00796ADD" w:rsidRDefault="00014CA4" w:rsidP="00796AD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1429D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г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.С</w:t>
      </w:r>
      <w:proofErr w:type="gramEnd"/>
      <w:r w:rsidRPr="00796ADD">
        <w:rPr>
          <w:rFonts w:eastAsia="Calibri"/>
          <w:sz w:val="28"/>
          <w:szCs w:val="28"/>
          <w:lang w:eastAsia="en-US"/>
        </w:rPr>
        <w:t>ясьстрой                                                                        «__» ___________ 202</w:t>
      </w:r>
      <w:r w:rsidR="00444F72">
        <w:rPr>
          <w:rFonts w:eastAsia="Calibri"/>
          <w:sz w:val="28"/>
          <w:szCs w:val="28"/>
          <w:lang w:eastAsia="en-US"/>
        </w:rPr>
        <w:t>3</w:t>
      </w:r>
      <w:r w:rsidRPr="00796ADD">
        <w:rPr>
          <w:rFonts w:eastAsia="Calibri"/>
          <w:sz w:val="28"/>
          <w:szCs w:val="28"/>
          <w:lang w:eastAsia="en-US"/>
        </w:rPr>
        <w:t xml:space="preserve">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6ADD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027CAF" w:rsidRPr="00796ADD">
        <w:rPr>
          <w:rFonts w:eastAsia="Calibri"/>
          <w:sz w:val="28"/>
          <w:szCs w:val="28"/>
          <w:lang w:eastAsia="en-US"/>
        </w:rPr>
        <w:t>Сясьстройско</w:t>
      </w:r>
      <w:r w:rsidR="00444F72">
        <w:rPr>
          <w:rFonts w:eastAsia="Calibri"/>
          <w:sz w:val="28"/>
          <w:szCs w:val="28"/>
          <w:lang w:eastAsia="en-US"/>
        </w:rPr>
        <w:t>го</w:t>
      </w:r>
      <w:proofErr w:type="spellEnd"/>
      <w:r w:rsidR="00027CAF" w:rsidRPr="00796ADD">
        <w:rPr>
          <w:rFonts w:eastAsia="Calibri"/>
          <w:sz w:val="28"/>
          <w:szCs w:val="28"/>
          <w:lang w:eastAsia="en-US"/>
        </w:rPr>
        <w:t xml:space="preserve"> городско</w:t>
      </w:r>
      <w:r w:rsidR="00444F72">
        <w:rPr>
          <w:rFonts w:eastAsia="Calibri"/>
          <w:sz w:val="28"/>
          <w:szCs w:val="28"/>
          <w:lang w:eastAsia="en-US"/>
        </w:rPr>
        <w:t>го</w:t>
      </w:r>
      <w:r w:rsidR="00027CAF" w:rsidRPr="00796ADD">
        <w:rPr>
          <w:rFonts w:eastAsia="Calibri"/>
          <w:sz w:val="28"/>
          <w:szCs w:val="28"/>
          <w:lang w:eastAsia="en-US"/>
        </w:rPr>
        <w:t xml:space="preserve"> поселени</w:t>
      </w:r>
      <w:r w:rsidR="00444F72">
        <w:rPr>
          <w:rFonts w:eastAsia="Calibri"/>
          <w:sz w:val="28"/>
          <w:szCs w:val="28"/>
          <w:lang w:eastAsia="en-US"/>
        </w:rPr>
        <w:t>я</w:t>
      </w:r>
      <w:r w:rsidR="00027CAF" w:rsidRPr="00796AD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27CAF" w:rsidRPr="00796AD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="00027CAF" w:rsidRPr="00796ADD">
        <w:rPr>
          <w:rFonts w:eastAsia="Calibri"/>
          <w:sz w:val="28"/>
          <w:szCs w:val="28"/>
          <w:lang w:eastAsia="en-US"/>
        </w:rPr>
        <w:t xml:space="preserve"> </w:t>
      </w:r>
      <w:r w:rsidRPr="00796ADD">
        <w:rPr>
          <w:rFonts w:eastAsia="Calibri"/>
          <w:sz w:val="28"/>
          <w:szCs w:val="28"/>
          <w:lang w:eastAsia="en-US"/>
        </w:rPr>
        <w:t xml:space="preserve"> м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ниципальн</w:t>
      </w:r>
      <w:r w:rsidR="00027CAF" w:rsidRPr="00796ADD">
        <w:rPr>
          <w:rFonts w:eastAsia="Calibri"/>
          <w:sz w:val="28"/>
          <w:szCs w:val="28"/>
          <w:lang w:eastAsia="en-US"/>
        </w:rPr>
        <w:t>ого</w:t>
      </w:r>
      <w:r w:rsidRPr="00796ADD">
        <w:rPr>
          <w:rFonts w:eastAsia="Calibri"/>
          <w:sz w:val="28"/>
          <w:szCs w:val="28"/>
          <w:lang w:eastAsia="en-US"/>
        </w:rPr>
        <w:t xml:space="preserve"> район</w:t>
      </w:r>
      <w:r w:rsidR="00027CAF"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 xml:space="preserve"> Ленинградской области», именуемое в дальнейшем «Ст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 xml:space="preserve">рона-1», в лице ___________________________________________________, действующего на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основ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нии____________________________________________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, с одной стороны,  и ____________________________, именуемое в дальнейшем «Сторона-2», в лице генерального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директ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ра______________________________</w:t>
      </w:r>
      <w:proofErr w:type="spellEnd"/>
      <w:r w:rsidRPr="00796ADD">
        <w:rPr>
          <w:rFonts w:eastAsia="Calibri"/>
          <w:sz w:val="28"/>
          <w:szCs w:val="28"/>
          <w:lang w:eastAsia="en-US"/>
        </w:rPr>
        <w:t>, действующего на основании ____________________________________________, с другой стор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ны, совместно именуемые «Стороны», заключили настоящий Договор о ниж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следующем:</w:t>
      </w:r>
      <w:proofErr w:type="gramEnd"/>
    </w:p>
    <w:p w:rsidR="00014CA4" w:rsidRPr="00796ADD" w:rsidRDefault="00014CA4" w:rsidP="00796ADD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10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1.1. Основанием для заключения Договора является протокол отбора з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 xml:space="preserve">стройщиков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</w:t>
      </w:r>
      <w:proofErr w:type="spellStart"/>
      <w:r w:rsidR="00027CAF" w:rsidRPr="00796ADD">
        <w:rPr>
          <w:rFonts w:eastAsia="Calibri"/>
          <w:sz w:val="28"/>
          <w:szCs w:val="28"/>
          <w:lang w:eastAsia="en-US"/>
        </w:rPr>
        <w:t>Сясьстройско</w:t>
      </w:r>
      <w:r w:rsidR="00444F72">
        <w:rPr>
          <w:rFonts w:eastAsia="Calibri"/>
          <w:sz w:val="28"/>
          <w:szCs w:val="28"/>
          <w:lang w:eastAsia="en-US"/>
        </w:rPr>
        <w:t>го</w:t>
      </w:r>
      <w:proofErr w:type="spellEnd"/>
      <w:r w:rsidR="00027CAF" w:rsidRPr="00796ADD">
        <w:rPr>
          <w:rFonts w:eastAsia="Calibri"/>
          <w:sz w:val="28"/>
          <w:szCs w:val="28"/>
          <w:lang w:eastAsia="en-US"/>
        </w:rPr>
        <w:t xml:space="preserve"> </w:t>
      </w:r>
      <w:r w:rsidRPr="00796ADD">
        <w:rPr>
          <w:rFonts w:eastAsia="Calibri"/>
          <w:sz w:val="28"/>
          <w:szCs w:val="28"/>
          <w:lang w:eastAsia="en-US"/>
        </w:rPr>
        <w:t xml:space="preserve"> городско</w:t>
      </w:r>
      <w:r w:rsidR="00444F72">
        <w:rPr>
          <w:rFonts w:eastAsia="Calibri"/>
          <w:sz w:val="28"/>
          <w:szCs w:val="28"/>
          <w:lang w:eastAsia="en-US"/>
        </w:rPr>
        <w:t>го</w:t>
      </w:r>
      <w:r w:rsidRPr="00796ADD">
        <w:rPr>
          <w:rFonts w:eastAsia="Calibri"/>
          <w:sz w:val="28"/>
          <w:szCs w:val="28"/>
          <w:lang w:eastAsia="en-US"/>
        </w:rPr>
        <w:t xml:space="preserve"> поселени</w:t>
      </w:r>
      <w:r w:rsidR="00444F72">
        <w:rPr>
          <w:rFonts w:eastAsia="Calibri"/>
          <w:sz w:val="28"/>
          <w:szCs w:val="28"/>
          <w:lang w:eastAsia="en-US"/>
        </w:rPr>
        <w:t>я</w:t>
      </w:r>
      <w:r w:rsidRPr="00796AD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27CAF" w:rsidRPr="00796ADD">
        <w:rPr>
          <w:rFonts w:eastAsia="Calibri"/>
          <w:sz w:val="28"/>
          <w:szCs w:val="28"/>
          <w:lang w:eastAsia="en-US"/>
        </w:rPr>
        <w:t>Во</w:t>
      </w:r>
      <w:r w:rsidR="00027CAF" w:rsidRPr="00796ADD">
        <w:rPr>
          <w:rFonts w:eastAsia="Calibri"/>
          <w:sz w:val="28"/>
          <w:szCs w:val="28"/>
          <w:lang w:eastAsia="en-US"/>
        </w:rPr>
        <w:t>л</w:t>
      </w:r>
      <w:r w:rsidR="00027CAF" w:rsidRPr="00796ADD">
        <w:rPr>
          <w:rFonts w:eastAsia="Calibri"/>
          <w:sz w:val="28"/>
          <w:szCs w:val="28"/>
          <w:lang w:eastAsia="en-US"/>
        </w:rPr>
        <w:t>ховского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от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_________________года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№______.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014CA4" w:rsidRPr="00796ADD" w:rsidRDefault="00014CA4" w:rsidP="00796AD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10"/>
        </w:numPr>
        <w:tabs>
          <w:tab w:val="left" w:pos="284"/>
        </w:tabs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ОБЯЗАННОСТИ СТОРОН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lastRenderedPageBreak/>
        <w:t>2.1. Сторона-1 обязуется: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2.1.1. Разработать и передать Стороне-2 информацию о необходимом к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2.1.2. В установленном законом порядке предоставить в аренду Стороне-2 земельный участок, соответствующий экологическим, градостроительным,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="00461C8B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орико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- 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гоквартирных жилых домов по переселению граждан из аварийного жилищн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 xml:space="preserve">го фонда (далее – Проект).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2.1.3.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</w:t>
      </w:r>
      <w:r w:rsidRPr="00796ADD">
        <w:rPr>
          <w:rFonts w:eastAsia="Calibri"/>
          <w:sz w:val="28"/>
          <w:szCs w:val="28"/>
          <w:lang w:eastAsia="en-US"/>
        </w:rPr>
        <w:t>н</w:t>
      </w:r>
      <w:r w:rsidRPr="00796ADD">
        <w:rPr>
          <w:rFonts w:eastAsia="Calibri"/>
          <w:sz w:val="28"/>
          <w:szCs w:val="28"/>
          <w:lang w:eastAsia="en-US"/>
        </w:rPr>
        <w:t>да планируемого к расселению в рамках региональной адресной программы «Переселение граждан из аварийного жилищного фонда на территории Лени</w:t>
      </w:r>
      <w:r w:rsidRPr="00796ADD">
        <w:rPr>
          <w:rFonts w:eastAsia="Calibri"/>
          <w:sz w:val="28"/>
          <w:szCs w:val="28"/>
          <w:lang w:eastAsia="en-US"/>
        </w:rPr>
        <w:t>н</w:t>
      </w:r>
      <w:r w:rsidRPr="00796ADD">
        <w:rPr>
          <w:rFonts w:eastAsia="Calibri"/>
          <w:sz w:val="28"/>
          <w:szCs w:val="28"/>
          <w:lang w:eastAsia="en-US"/>
        </w:rPr>
        <w:t>градской области в 2019-2025 годах» (далее – Программа), утвержденной п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становлением Правительства Ленинградской области от 01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апреля 2019 года № 134.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</w:t>
      </w:r>
      <w:r w:rsidR="004A61BC">
        <w:rPr>
          <w:rFonts w:eastAsia="Calibri"/>
          <w:sz w:val="28"/>
          <w:szCs w:val="28"/>
          <w:lang w:eastAsia="en-US"/>
        </w:rPr>
        <w:t>4</w:t>
      </w:r>
      <w:r w:rsidRPr="00796ADD">
        <w:rPr>
          <w:rFonts w:eastAsia="Calibri"/>
          <w:sz w:val="28"/>
          <w:szCs w:val="28"/>
          <w:lang w:eastAsia="en-US"/>
        </w:rPr>
        <w:t>. При необходимости осуществить корректировку правил землепол</w:t>
      </w:r>
      <w:r w:rsidRPr="00796ADD">
        <w:rPr>
          <w:rFonts w:eastAsia="Calibri"/>
          <w:sz w:val="28"/>
          <w:szCs w:val="28"/>
          <w:lang w:eastAsia="en-US"/>
        </w:rPr>
        <w:t>ь</w:t>
      </w:r>
      <w:r w:rsidRPr="00796ADD">
        <w:rPr>
          <w:rFonts w:eastAsia="Calibri"/>
          <w:sz w:val="28"/>
          <w:szCs w:val="28"/>
          <w:lang w:eastAsia="en-US"/>
        </w:rPr>
        <w:t>зования и застройки.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</w:t>
      </w:r>
      <w:r w:rsidR="004A61BC">
        <w:rPr>
          <w:rFonts w:eastAsia="Calibri"/>
          <w:sz w:val="28"/>
          <w:szCs w:val="28"/>
          <w:lang w:eastAsia="en-US"/>
        </w:rPr>
        <w:t>5</w:t>
      </w:r>
      <w:r w:rsidRPr="00796ADD">
        <w:rPr>
          <w:rFonts w:eastAsia="Calibri"/>
          <w:sz w:val="28"/>
          <w:szCs w:val="28"/>
          <w:lang w:eastAsia="en-US"/>
        </w:rPr>
        <w:t>. Оказывать Стороне-2 необходимое содействие в реализации Прое</w:t>
      </w:r>
      <w:r w:rsidRPr="00796ADD">
        <w:rPr>
          <w:rFonts w:eastAsia="Calibri"/>
          <w:sz w:val="28"/>
          <w:szCs w:val="28"/>
          <w:lang w:eastAsia="en-US"/>
        </w:rPr>
        <w:t>к</w:t>
      </w:r>
      <w:r w:rsidRPr="00796ADD">
        <w:rPr>
          <w:rFonts w:eastAsia="Calibri"/>
          <w:sz w:val="28"/>
          <w:szCs w:val="28"/>
          <w:lang w:eastAsia="en-US"/>
        </w:rPr>
        <w:t>та по вопросам, входящим в компетенцию Стороны-1.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</w:t>
      </w:r>
      <w:r w:rsidR="004A61BC">
        <w:rPr>
          <w:rFonts w:eastAsia="Calibri"/>
          <w:sz w:val="28"/>
          <w:szCs w:val="28"/>
          <w:lang w:eastAsia="en-US"/>
        </w:rPr>
        <w:t>6</w:t>
      </w:r>
      <w:r w:rsidRPr="00796ADD">
        <w:rPr>
          <w:rFonts w:eastAsia="Calibri"/>
          <w:sz w:val="28"/>
          <w:szCs w:val="28"/>
          <w:lang w:eastAsia="en-US"/>
        </w:rPr>
        <w:t>. По окончанию строительства и осуществления ввода в эксплуат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2.2. Сторона-2 обязуется: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2.2.1. Разработать проектно-сметную документацию проекта многоква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тирного дома с учетом Технического задания на проектирование за счет собс</w:t>
      </w:r>
      <w:r w:rsidRPr="00796ADD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венных средств.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2.2.2. Получить положительное заключение на проектно-сметную док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ментацию проекта многоквартирного дома с учетом Технического задания на проектирование за счет собственных средств.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2.2.3. После получения положительного заключения государственной экспертизы утвердить проектную документацию.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2.2.4. Своими силами и (или) с привлечением других лиц построить (со</w:t>
      </w:r>
      <w:r w:rsidRPr="00796ADD">
        <w:rPr>
          <w:rFonts w:eastAsia="Calibri"/>
          <w:sz w:val="28"/>
          <w:szCs w:val="28"/>
          <w:lang w:eastAsia="en-US"/>
        </w:rPr>
        <w:t>з</w:t>
      </w:r>
      <w:r w:rsidRPr="00796ADD">
        <w:rPr>
          <w:rFonts w:eastAsia="Calibri"/>
          <w:sz w:val="28"/>
          <w:szCs w:val="28"/>
          <w:lang w:eastAsia="en-US"/>
        </w:rPr>
        <w:t>дать) многоквартирный дом, жилые помещения в которых передаются для п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 xml:space="preserve">реселения граждан из аварийного жилого фонда. 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2.2.5. Во время строительства осуществлять строительный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ходом строительства многоквартирного дома, авторский надзор выполнения проектных решений.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2.2.6. До начала строительства многоквартирного дома получить разр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шение на строительство.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2.2.7. Подготовить земельный участок для строительства и создать сам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lastRenderedPageBreak/>
        <w:t>стоятельно либо с привлечением иной организации геодезическую разбиво</w:t>
      </w:r>
      <w:r w:rsidRPr="00796ADD">
        <w:rPr>
          <w:rFonts w:eastAsia="Calibri"/>
          <w:sz w:val="28"/>
          <w:szCs w:val="28"/>
          <w:lang w:eastAsia="en-US"/>
        </w:rPr>
        <w:t>ч</w:t>
      </w:r>
      <w:r w:rsidRPr="00796ADD">
        <w:rPr>
          <w:rFonts w:eastAsia="Calibri"/>
          <w:sz w:val="28"/>
          <w:szCs w:val="28"/>
          <w:lang w:eastAsia="en-US"/>
        </w:rPr>
        <w:t>ную основу для строительства.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2.2.8. Направить за семь дней до начала строительства в орган, уполном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ченный на ведение государственного строительного надзора (далее – ГСН), и</w:t>
      </w:r>
      <w:r w:rsidRPr="00796ADD">
        <w:rPr>
          <w:rFonts w:eastAsia="Calibri"/>
          <w:sz w:val="28"/>
          <w:szCs w:val="28"/>
          <w:lang w:eastAsia="en-US"/>
        </w:rPr>
        <w:t>з</w:t>
      </w:r>
      <w:r w:rsidRPr="00796ADD">
        <w:rPr>
          <w:rFonts w:eastAsia="Calibri"/>
          <w:sz w:val="28"/>
          <w:szCs w:val="28"/>
          <w:lang w:eastAsia="en-US"/>
        </w:rPr>
        <w:t>вещение о начале работ с приложением необходимых документов.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2.2.9. Передать в орган ГСН для регистрации общий и специальные жу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налы работ, которые должны быть сброшюрованы и пронумерованы застро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щиком, заполнены титульные листы указанных журналов.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2.2.10. По окончании журнала работ предоставлять в орган ГСН для рег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страции новый журнал с пометкой «1», «2» и т.д.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2.2.11. Соблюдать требования нормативных документов по осуществл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нию строительного контроля в части обязанностей застройщика.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2.2.12. Оформлять в письменной форме замечания о выявленных недо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Pr="00796ADD">
        <w:rPr>
          <w:rFonts w:eastAsia="Calibri"/>
          <w:sz w:val="28"/>
          <w:szCs w:val="28"/>
          <w:lang w:eastAsia="en-US"/>
        </w:rPr>
        <w:t>татках при выполнении подрядными организациями, работ в процессе стро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тельства.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2.2.13. Требовать от подрядных организаций, в случае обнаружения н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достатков при выполнении работ до продолжения работ оформить акт об ус</w:t>
      </w:r>
      <w:r w:rsidRPr="00796ADD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ранении недостатков.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2.2.14. При выявлении в процессе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строительства необходимости отклон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ния параметров объекта капитального строительства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от проектной документ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2.2.15. По окончании строительства, направить в орган ГСН, извещение об окончании работ.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2.2.16. До начала эксплуатации объекта капитального строительства п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лучить разрешение на ввод его в эксплуатацию.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2.2.17. Обеспечить, в том числе через подрядные организации условия для выполнения должностным лицом органа ГСН своих полномочий, пред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2.2.18. Предоставлять Стороне-1 сведения о ходе реализации Проекта.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3.СРОКИ ИСПОЛНЕНИЯ ОБЯЗАТЕЛЬСТВ СТОРОНАМИ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4.УВЕДОМЛЕНИЯ, СООБЩЕНИЯ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4.1. Все уведомления и сообщения, направляемые Сторонами в связи с исполнением настоящего Договора, должны быть сделаны в письменной фо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ме.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3D1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 xml:space="preserve">ОТВЕТСТВЕННОСТЬ СТОРОН И ПОРЯДОК </w:t>
      </w: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РАССМОТРЕНИЯ СПОРОВ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5.1. Стороны несут ответственность за неисполнение или ненадлежащее </w:t>
      </w:r>
      <w:r w:rsidRPr="00796ADD">
        <w:rPr>
          <w:rFonts w:eastAsia="Calibri"/>
          <w:sz w:val="28"/>
          <w:szCs w:val="28"/>
          <w:lang w:eastAsia="en-US"/>
        </w:rPr>
        <w:lastRenderedPageBreak/>
        <w:t>исполнение своих обязательств по настоящему Договору в соответствии с де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ствующим законодательством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5.2. Претензионный порядок досудебного урегулирования споров по н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стоящему Договору является для Сторон обязательным.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ПОРЯДОК ИЗМЕНЕНИЯ И РАСТОРЖЕНИЯ ДОГОВОРА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6.1. Условия настоящего Договора могут быть изменены только по пис</w:t>
      </w:r>
      <w:r w:rsidRPr="00796ADD">
        <w:rPr>
          <w:rFonts w:eastAsia="Calibri"/>
          <w:sz w:val="28"/>
          <w:szCs w:val="28"/>
          <w:lang w:eastAsia="en-US"/>
        </w:rPr>
        <w:t>ь</w:t>
      </w:r>
      <w:r w:rsidRPr="00796ADD">
        <w:rPr>
          <w:rFonts w:eastAsia="Calibri"/>
          <w:sz w:val="28"/>
          <w:szCs w:val="28"/>
          <w:lang w:eastAsia="en-US"/>
        </w:rPr>
        <w:t>менному соглашению сторон, оформленному надлежащим образом.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6.2. Настоящий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Договор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может быть расторгнут в установленном законом порядке или по соглашению сторон.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ФОРС-МАЖОР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мии, блокаду, эмбарго, землетрясения, наводнения, пожары и другие стихи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ные бедствия.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тельств по договору в течение двадцати календарных дней с момента возникн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вения этих обстоятельств.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8.1. Настоящий Договор составлен в 2-х экземплярах, имеющих одинак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вую юридическую силу, по одному экземпляру для каждой Стороны.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8.2. Во всем остальном, не предусмотренном настоящим Договором, ст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роны будут руководствоваться действующим законодательством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РЕКВИЗИТЫ И ПОДПИСИ СТОРОН:</w:t>
      </w: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4536"/>
      </w:tblGrid>
      <w:tr w:rsidR="00014CA4" w:rsidRPr="00796ADD" w:rsidTr="00F52C06">
        <w:tc>
          <w:tcPr>
            <w:tcW w:w="5425" w:type="dxa"/>
          </w:tcPr>
          <w:p w:rsidR="00014CA4" w:rsidRPr="00796ADD" w:rsidRDefault="00014CA4" w:rsidP="00796ADD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96ADD">
              <w:rPr>
                <w:b/>
                <w:sz w:val="28"/>
                <w:szCs w:val="28"/>
              </w:rPr>
              <w:t>Сторона-1</w:t>
            </w:r>
          </w:p>
        </w:tc>
        <w:tc>
          <w:tcPr>
            <w:tcW w:w="4536" w:type="dxa"/>
          </w:tcPr>
          <w:p w:rsidR="00014CA4" w:rsidRPr="00796ADD" w:rsidRDefault="00014CA4" w:rsidP="00796ADD">
            <w:pPr>
              <w:widowControl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796ADD">
              <w:rPr>
                <w:b/>
                <w:sz w:val="28"/>
                <w:szCs w:val="28"/>
              </w:rPr>
              <w:t>Сторона -2</w:t>
            </w:r>
          </w:p>
        </w:tc>
      </w:tr>
    </w:tbl>
    <w:p w:rsidR="00014CA4" w:rsidRPr="00796ADD" w:rsidRDefault="00014CA4" w:rsidP="00413A55">
      <w:pPr>
        <w:widowControl w:val="0"/>
        <w:ind w:firstLine="709"/>
        <w:rPr>
          <w:sz w:val="28"/>
          <w:szCs w:val="28"/>
        </w:rPr>
      </w:pPr>
    </w:p>
    <w:sectPr w:rsidR="00014CA4" w:rsidRPr="00796ADD" w:rsidSect="009E484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12E66"/>
    <w:multiLevelType w:val="multilevel"/>
    <w:tmpl w:val="0A443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934E3"/>
    <w:multiLevelType w:val="hybridMultilevel"/>
    <w:tmpl w:val="7104173E"/>
    <w:lvl w:ilvl="0" w:tplc="E7BE1B1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17AC0"/>
    <w:multiLevelType w:val="multilevel"/>
    <w:tmpl w:val="7E168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B2F39"/>
    <w:multiLevelType w:val="hybridMultilevel"/>
    <w:tmpl w:val="A2CA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F1F"/>
    <w:multiLevelType w:val="hybridMultilevel"/>
    <w:tmpl w:val="A79ED0F0"/>
    <w:lvl w:ilvl="0" w:tplc="03C4A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DF0B9D0">
      <w:numFmt w:val="none"/>
      <w:lvlText w:val=""/>
      <w:lvlJc w:val="left"/>
      <w:pPr>
        <w:tabs>
          <w:tab w:val="num" w:pos="360"/>
        </w:tabs>
      </w:pPr>
    </w:lvl>
    <w:lvl w:ilvl="2" w:tplc="EE38932C">
      <w:numFmt w:val="none"/>
      <w:lvlText w:val=""/>
      <w:lvlJc w:val="left"/>
      <w:pPr>
        <w:tabs>
          <w:tab w:val="num" w:pos="360"/>
        </w:tabs>
      </w:pPr>
    </w:lvl>
    <w:lvl w:ilvl="3" w:tplc="86FAC97C">
      <w:numFmt w:val="none"/>
      <w:lvlText w:val=""/>
      <w:lvlJc w:val="left"/>
      <w:pPr>
        <w:tabs>
          <w:tab w:val="num" w:pos="360"/>
        </w:tabs>
      </w:pPr>
    </w:lvl>
    <w:lvl w:ilvl="4" w:tplc="42AAD9E2">
      <w:numFmt w:val="none"/>
      <w:lvlText w:val=""/>
      <w:lvlJc w:val="left"/>
      <w:pPr>
        <w:tabs>
          <w:tab w:val="num" w:pos="360"/>
        </w:tabs>
      </w:pPr>
    </w:lvl>
    <w:lvl w:ilvl="5" w:tplc="2DB86EEA">
      <w:numFmt w:val="none"/>
      <w:lvlText w:val=""/>
      <w:lvlJc w:val="left"/>
      <w:pPr>
        <w:tabs>
          <w:tab w:val="num" w:pos="360"/>
        </w:tabs>
      </w:pPr>
    </w:lvl>
    <w:lvl w:ilvl="6" w:tplc="6F2ECC36">
      <w:numFmt w:val="none"/>
      <w:lvlText w:val=""/>
      <w:lvlJc w:val="left"/>
      <w:pPr>
        <w:tabs>
          <w:tab w:val="num" w:pos="360"/>
        </w:tabs>
      </w:pPr>
    </w:lvl>
    <w:lvl w:ilvl="7" w:tplc="D9BEC880">
      <w:numFmt w:val="none"/>
      <w:lvlText w:val=""/>
      <w:lvlJc w:val="left"/>
      <w:pPr>
        <w:tabs>
          <w:tab w:val="num" w:pos="360"/>
        </w:tabs>
      </w:pPr>
    </w:lvl>
    <w:lvl w:ilvl="8" w:tplc="8B662C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6223E5"/>
    <w:multiLevelType w:val="multilevel"/>
    <w:tmpl w:val="5F02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C7647"/>
    <w:multiLevelType w:val="hybridMultilevel"/>
    <w:tmpl w:val="0E5AE5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31B4"/>
    <w:multiLevelType w:val="multilevel"/>
    <w:tmpl w:val="34F62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2AC7"/>
    <w:rsid w:val="00014CA4"/>
    <w:rsid w:val="00027CAF"/>
    <w:rsid w:val="00045795"/>
    <w:rsid w:val="000633D1"/>
    <w:rsid w:val="000A71DE"/>
    <w:rsid w:val="000B4EB4"/>
    <w:rsid w:val="000C6AFE"/>
    <w:rsid w:val="000D0E7A"/>
    <w:rsid w:val="00100F85"/>
    <w:rsid w:val="0012007A"/>
    <w:rsid w:val="001429D5"/>
    <w:rsid w:val="00192386"/>
    <w:rsid w:val="001A4505"/>
    <w:rsid w:val="00201BAB"/>
    <w:rsid w:val="002528BA"/>
    <w:rsid w:val="0025769F"/>
    <w:rsid w:val="00272F99"/>
    <w:rsid w:val="00282F61"/>
    <w:rsid w:val="002C211D"/>
    <w:rsid w:val="002C5D2D"/>
    <w:rsid w:val="00314085"/>
    <w:rsid w:val="003174E7"/>
    <w:rsid w:val="003B26D1"/>
    <w:rsid w:val="003C6496"/>
    <w:rsid w:val="003D1D42"/>
    <w:rsid w:val="003E08A9"/>
    <w:rsid w:val="003E1908"/>
    <w:rsid w:val="003F045E"/>
    <w:rsid w:val="00413A55"/>
    <w:rsid w:val="00444F72"/>
    <w:rsid w:val="00450D79"/>
    <w:rsid w:val="00451DD2"/>
    <w:rsid w:val="00460261"/>
    <w:rsid w:val="00461C8B"/>
    <w:rsid w:val="004A61BC"/>
    <w:rsid w:val="004B32D7"/>
    <w:rsid w:val="004C31F0"/>
    <w:rsid w:val="004D23CE"/>
    <w:rsid w:val="0057385B"/>
    <w:rsid w:val="005C0A61"/>
    <w:rsid w:val="005E59EA"/>
    <w:rsid w:val="00626564"/>
    <w:rsid w:val="006C0E38"/>
    <w:rsid w:val="006F74F9"/>
    <w:rsid w:val="00702F13"/>
    <w:rsid w:val="0075236C"/>
    <w:rsid w:val="00796ADD"/>
    <w:rsid w:val="007E0F53"/>
    <w:rsid w:val="008242C0"/>
    <w:rsid w:val="00831136"/>
    <w:rsid w:val="00844C1D"/>
    <w:rsid w:val="008511B1"/>
    <w:rsid w:val="008525CC"/>
    <w:rsid w:val="008607EC"/>
    <w:rsid w:val="0087672D"/>
    <w:rsid w:val="008C0FFA"/>
    <w:rsid w:val="008D1A93"/>
    <w:rsid w:val="00900829"/>
    <w:rsid w:val="009346C0"/>
    <w:rsid w:val="00947544"/>
    <w:rsid w:val="00993802"/>
    <w:rsid w:val="009E484A"/>
    <w:rsid w:val="00A12AC7"/>
    <w:rsid w:val="00A627CB"/>
    <w:rsid w:val="00A62F96"/>
    <w:rsid w:val="00AA4A49"/>
    <w:rsid w:val="00AB70A7"/>
    <w:rsid w:val="00AE24BA"/>
    <w:rsid w:val="00B04C78"/>
    <w:rsid w:val="00B87648"/>
    <w:rsid w:val="00BA5325"/>
    <w:rsid w:val="00BE2317"/>
    <w:rsid w:val="00CC108E"/>
    <w:rsid w:val="00D06308"/>
    <w:rsid w:val="00D468D6"/>
    <w:rsid w:val="00DA0036"/>
    <w:rsid w:val="00E005F1"/>
    <w:rsid w:val="00E83571"/>
    <w:rsid w:val="00E86657"/>
    <w:rsid w:val="00ED4E2D"/>
    <w:rsid w:val="00EF01CD"/>
    <w:rsid w:val="00F43230"/>
    <w:rsid w:val="00F44044"/>
    <w:rsid w:val="00F52C06"/>
    <w:rsid w:val="00F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7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2AC7"/>
    <w:pPr>
      <w:keepNext/>
      <w:numPr>
        <w:numId w:val="1"/>
      </w:numPr>
      <w:jc w:val="both"/>
      <w:outlineLvl w:val="0"/>
    </w:pPr>
    <w:rPr>
      <w:b/>
    </w:rPr>
  </w:style>
  <w:style w:type="paragraph" w:styleId="3">
    <w:name w:val="heading 3"/>
    <w:basedOn w:val="a"/>
    <w:link w:val="30"/>
    <w:qFormat/>
    <w:rsid w:val="002528B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AC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ody Text"/>
    <w:basedOn w:val="a"/>
    <w:link w:val="a4"/>
    <w:rsid w:val="00A12A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12A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nhideWhenUsed/>
    <w:rsid w:val="00A1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2AC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nhideWhenUsed/>
    <w:rsid w:val="0019238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252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rsid w:val="002528BA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header"/>
    <w:basedOn w:val="a"/>
    <w:link w:val="ab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528BA"/>
  </w:style>
  <w:style w:type="paragraph" w:styleId="ac">
    <w:name w:val="footer"/>
    <w:basedOn w:val="a"/>
    <w:link w:val="ad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2528BA"/>
  </w:style>
  <w:style w:type="character" w:customStyle="1" w:styleId="FontStyle11">
    <w:name w:val="Font Style11"/>
    <w:basedOn w:val="a0"/>
    <w:rsid w:val="002528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2528BA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2528BA"/>
    <w:pPr>
      <w:widowControl w:val="0"/>
      <w:suppressAutoHyphens/>
      <w:autoSpaceDE w:val="0"/>
      <w:spacing w:line="301" w:lineRule="exact"/>
      <w:jc w:val="center"/>
    </w:pPr>
  </w:style>
  <w:style w:type="paragraph" w:customStyle="1" w:styleId="Style10">
    <w:name w:val="Style10"/>
    <w:basedOn w:val="a"/>
    <w:rsid w:val="002528BA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character" w:customStyle="1" w:styleId="FontStyle28">
    <w:name w:val="Font Style28"/>
    <w:basedOn w:val="a0"/>
    <w:rsid w:val="002528BA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rsid w:val="00A627CB"/>
    <w:rPr>
      <w:color w:val="0000FF"/>
      <w:u w:val="single"/>
    </w:rPr>
  </w:style>
  <w:style w:type="character" w:customStyle="1" w:styleId="ListLabel1">
    <w:name w:val="ListLabel 1"/>
    <w:rsid w:val="00A627CB"/>
    <w:rPr>
      <w:rFonts w:eastAsia="Times New Roman" w:cs="Times New Roman"/>
    </w:rPr>
  </w:style>
  <w:style w:type="character" w:customStyle="1" w:styleId="ListLabel2">
    <w:name w:val="ListLabel 2"/>
    <w:rsid w:val="00A627CB"/>
    <w:rPr>
      <w:rFonts w:cs="Courier New"/>
    </w:rPr>
  </w:style>
  <w:style w:type="character" w:customStyle="1" w:styleId="ae">
    <w:name w:val="Посещённая гиперссылка"/>
    <w:rsid w:val="00A627CB"/>
    <w:rPr>
      <w:color w:val="800000"/>
      <w:u w:val="single"/>
    </w:rPr>
  </w:style>
  <w:style w:type="paragraph" w:customStyle="1" w:styleId="af">
    <w:name w:val="Заголовок"/>
    <w:basedOn w:val="a"/>
    <w:next w:val="a3"/>
    <w:rsid w:val="00A627CB"/>
    <w:pPr>
      <w:keepNext/>
      <w:suppressAutoHyphens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0">
    <w:name w:val="List"/>
    <w:basedOn w:val="a3"/>
    <w:rsid w:val="00A627CB"/>
    <w:pPr>
      <w:suppressAutoHyphens/>
      <w:overflowPunct w:val="0"/>
    </w:pPr>
    <w:rPr>
      <w:rFonts w:cs="Mangal"/>
      <w:color w:val="00000A"/>
      <w:sz w:val="24"/>
      <w:szCs w:val="24"/>
    </w:rPr>
  </w:style>
  <w:style w:type="paragraph" w:styleId="af1">
    <w:name w:val="Title"/>
    <w:basedOn w:val="a"/>
    <w:link w:val="af2"/>
    <w:rsid w:val="00A627CB"/>
    <w:pPr>
      <w:suppressLineNumbers/>
      <w:suppressAutoHyphen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character" w:customStyle="1" w:styleId="af2">
    <w:name w:val="Название Знак"/>
    <w:basedOn w:val="a0"/>
    <w:link w:val="af1"/>
    <w:rsid w:val="00A627CB"/>
    <w:rPr>
      <w:rFonts w:cs="Mangal"/>
      <w:i/>
      <w:iCs/>
      <w:color w:val="00000A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627CB"/>
    <w:pPr>
      <w:ind w:left="240" w:hanging="240"/>
    </w:pPr>
  </w:style>
  <w:style w:type="paragraph" w:styleId="af3">
    <w:name w:val="index heading"/>
    <w:basedOn w:val="a"/>
    <w:rsid w:val="00A627CB"/>
    <w:pPr>
      <w:suppressLineNumbers/>
      <w:suppressAutoHyphen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A627CB"/>
    <w:pPr>
      <w:suppressAutoHyphens/>
      <w:overflowPunct w:val="0"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A627CB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table" w:styleId="af5">
    <w:name w:val="Table Grid"/>
    <w:basedOn w:val="a1"/>
    <w:uiPriority w:val="59"/>
    <w:rsid w:val="004C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14CA4"/>
    <w:rPr>
      <w:sz w:val="22"/>
      <w:szCs w:val="22"/>
      <w:lang w:eastAsia="en-US"/>
    </w:rPr>
  </w:style>
  <w:style w:type="character" w:customStyle="1" w:styleId="VisitedInternetLink">
    <w:name w:val="Visited Internet Link"/>
    <w:rsid w:val="00014CA4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DFB1-0DC5-4451-8CDB-7C6326D3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8883</CharactersWithSpaces>
  <SharedDoc>false</SharedDoc>
  <HLinks>
    <vt:vector size="54" baseType="variant">
      <vt:variant>
        <vt:i4>6291574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http://docs.cntd.ru/document/901700731</vt:lpwstr>
      </vt:variant>
      <vt:variant>
        <vt:lpwstr/>
      </vt:variant>
      <vt:variant>
        <vt:i4>6946930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71631894</vt:i4>
      </vt:variant>
      <vt:variant>
        <vt:i4>12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Соколова И.В.</cp:lastModifiedBy>
  <cp:revision>6</cp:revision>
  <cp:lastPrinted>2022-01-31T05:38:00Z</cp:lastPrinted>
  <dcterms:created xsi:type="dcterms:W3CDTF">2022-01-31T05:34:00Z</dcterms:created>
  <dcterms:modified xsi:type="dcterms:W3CDTF">2023-09-29T08:16:00Z</dcterms:modified>
</cp:coreProperties>
</file>